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90" w:rsidRPr="00E460A7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E460A7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E460A7">
        <w:rPr>
          <w:rFonts w:ascii="Times New Roman" w:hAnsi="Times New Roman" w:cs="Times New Roman"/>
          <w:sz w:val="30"/>
          <w:szCs w:val="30"/>
        </w:rPr>
        <w:t>–</w:t>
      </w:r>
      <w:r w:rsidR="00206B58" w:rsidRPr="00E460A7">
        <w:rPr>
          <w:rFonts w:ascii="Times New Roman" w:hAnsi="Times New Roman" w:cs="Times New Roman"/>
          <w:sz w:val="30"/>
          <w:szCs w:val="30"/>
        </w:rPr>
        <w:t xml:space="preserve"> 2021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E460A7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 w:rsidRPr="00E460A7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E460A7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E460A7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E460A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E460A7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E460A7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E460A7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E460A7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</w:t>
      </w:r>
      <w:proofErr w:type="spellStart"/>
      <w:r w:rsidRPr="00E460A7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EA20A8" w:rsidRPr="00E460A7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E460A7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E460A7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E460A7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Pr="00E460A7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E460A7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E460A7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E460A7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E460A7">
          <w:rPr>
            <w:rFonts w:ascii="Times New Roman" w:hAnsi="Times New Roman" w:cs="Times New Roman"/>
            <w:sz w:val="30"/>
            <w:szCs w:val="30"/>
          </w:rPr>
          <w:t>№</w:t>
        </w:r>
        <w:r w:rsidRPr="00E460A7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E460A7">
        <w:rPr>
          <w:rFonts w:ascii="Times New Roman" w:hAnsi="Times New Roman" w:cs="Times New Roman"/>
          <w:sz w:val="30"/>
          <w:szCs w:val="30"/>
        </w:rPr>
        <w:t>«</w:t>
      </w:r>
      <w:r w:rsidRPr="00E460A7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E460A7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 w:rsidRPr="00E460A7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E460A7">
          <w:rPr>
            <w:rFonts w:ascii="Times New Roman" w:hAnsi="Times New Roman" w:cs="Times New Roman"/>
            <w:sz w:val="30"/>
            <w:szCs w:val="30"/>
          </w:rPr>
          <w:t>№</w:t>
        </w:r>
        <w:r w:rsidRPr="00E460A7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E460A7">
        <w:rPr>
          <w:rFonts w:ascii="Times New Roman" w:hAnsi="Times New Roman" w:cs="Times New Roman"/>
          <w:sz w:val="30"/>
          <w:szCs w:val="30"/>
        </w:rPr>
        <w:t xml:space="preserve"> «</w:t>
      </w:r>
      <w:r w:rsidRPr="00E460A7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E460A7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E460A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E460A7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E460A7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 w:rsidRPr="00E460A7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E460A7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E460A7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E460A7">
        <w:rPr>
          <w:rFonts w:ascii="Times New Roman" w:hAnsi="Times New Roman" w:cs="Times New Roman"/>
          <w:sz w:val="30"/>
          <w:szCs w:val="30"/>
        </w:rPr>
        <w:t>в 2019</w:t>
      </w:r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E460A7">
        <w:rPr>
          <w:rFonts w:ascii="Times New Roman" w:hAnsi="Times New Roman" w:cs="Times New Roman"/>
          <w:sz w:val="30"/>
          <w:szCs w:val="30"/>
        </w:rPr>
        <w:t>–</w:t>
      </w:r>
      <w:r w:rsidR="00125F3F" w:rsidRPr="00E460A7">
        <w:rPr>
          <w:rFonts w:ascii="Times New Roman" w:hAnsi="Times New Roman" w:cs="Times New Roman"/>
          <w:sz w:val="30"/>
          <w:szCs w:val="30"/>
        </w:rPr>
        <w:t xml:space="preserve"> 2021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E460A7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Pr="00E460A7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1</w:t>
      </w:r>
    </w:p>
    <w:p w:rsidR="007B6490" w:rsidRPr="00E460A7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E460A7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Pr="00E460A7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Совместными усилиями добиваться развития экономики, укрепления экономического и финансового положения ее отраслей путем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осуществления следующих мер:</w:t>
      </w:r>
    </w:p>
    <w:p w:rsidR="00DE25CA" w:rsidRPr="00E460A7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Pr="00E460A7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Pr="00E460A7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E460A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Pr="00E460A7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E460A7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E460A7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Pr="00E460A7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Pr="00E460A7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E460A7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E460A7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E460A7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E460A7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E460A7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Pr="00E460A7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 w:rsidRPr="00E460A7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E460A7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E460A7">
        <w:rPr>
          <w:rFonts w:ascii="Times New Roman" w:hAnsi="Times New Roman" w:cs="Times New Roman"/>
          <w:sz w:val="30"/>
          <w:szCs w:val="30"/>
        </w:rPr>
        <w:t>и;</w:t>
      </w:r>
    </w:p>
    <w:p w:rsidR="00692E0D" w:rsidRPr="00E460A7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0A7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E460A7">
        <w:rPr>
          <w:rFonts w:ascii="Times New Roman" w:hAnsi="Times New Roman" w:cs="Times New Roman"/>
          <w:sz w:val="30"/>
          <w:szCs w:val="30"/>
        </w:rPr>
        <w:t>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Pr="00E460A7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Pr="00E460A7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создание благоприятных условий для прямых иностранных                 и</w:t>
      </w:r>
      <w:r w:rsidR="000006C4" w:rsidRPr="00E460A7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E460A7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Pr="00E460A7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lastRenderedPageBreak/>
        <w:t>в области реструктуризации и реформирования организаций: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принятие де</w:t>
      </w:r>
      <w:r w:rsidR="009B6194" w:rsidRPr="00E460A7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 w:rsidRPr="00E460A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Pr="00E460A7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E460A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Pr="00E460A7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применение </w:t>
      </w:r>
      <w:proofErr w:type="spellStart"/>
      <w:r w:rsidRPr="00E460A7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E460A7">
        <w:rPr>
          <w:rFonts w:ascii="Times New Roman" w:hAnsi="Times New Roman" w:cs="Times New Roman"/>
          <w:sz w:val="30"/>
          <w:szCs w:val="30"/>
        </w:rPr>
        <w:t>- и энергосберегающих технологий, внедрение в производство инновационных технологий;</w:t>
      </w:r>
    </w:p>
    <w:p w:rsidR="00692E0D" w:rsidRPr="00E460A7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E460A7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E460A7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E460A7">
        <w:rPr>
          <w:rFonts w:ascii="Times New Roman" w:hAnsi="Times New Roman" w:cs="Times New Roman"/>
          <w:sz w:val="30"/>
          <w:szCs w:val="30"/>
        </w:rPr>
        <w:t>оте</w:t>
      </w:r>
      <w:r w:rsidR="00BD37D9" w:rsidRPr="00E460A7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E460A7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Pr="00E460A7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Pr="00E460A7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 w:rsidRPr="00E460A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460A7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E460A7">
        <w:rPr>
          <w:rFonts w:ascii="Times New Roman" w:hAnsi="Times New Roman" w:cs="Times New Roman"/>
          <w:sz w:val="30"/>
          <w:szCs w:val="30"/>
        </w:rPr>
        <w:t>9</w:t>
      </w:r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E460A7">
        <w:rPr>
          <w:rFonts w:ascii="Times New Roman" w:hAnsi="Times New Roman" w:cs="Times New Roman"/>
          <w:sz w:val="30"/>
          <w:szCs w:val="30"/>
        </w:rPr>
        <w:t>21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E460A7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2</w:t>
      </w:r>
    </w:p>
    <w:p w:rsidR="007B6490" w:rsidRPr="00E460A7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E460A7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Pr="00E460A7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E460A7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 xml:space="preserve">уровня </w:t>
      </w:r>
      <w:proofErr w:type="spellStart"/>
      <w:r w:rsidRPr="00E460A7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E460A7">
        <w:rPr>
          <w:rFonts w:ascii="Times New Roman" w:hAnsi="Times New Roman" w:cs="Times New Roman"/>
          <w:sz w:val="30"/>
          <w:szCs w:val="30"/>
        </w:rPr>
        <w:t xml:space="preserve"> в социально приемлемых пределах – </w:t>
      </w:r>
      <w:r w:rsidR="00497749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 w:rsidRPr="00E460A7">
        <w:rPr>
          <w:rFonts w:ascii="Times New Roman" w:hAnsi="Times New Roman" w:cs="Times New Roman"/>
          <w:sz w:val="30"/>
          <w:szCs w:val="30"/>
        </w:rPr>
        <w:t>.</w:t>
      </w:r>
    </w:p>
    <w:p w:rsidR="0075038C" w:rsidRPr="00E460A7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E460A7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E460A7">
        <w:rPr>
          <w:rFonts w:ascii="Times New Roman" w:hAnsi="Times New Roman" w:cs="Times New Roman"/>
          <w:sz w:val="30"/>
          <w:szCs w:val="30"/>
        </w:rPr>
        <w:t>9</w:t>
      </w:r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E460A7">
        <w:rPr>
          <w:rFonts w:ascii="Times New Roman" w:hAnsi="Times New Roman" w:cs="Times New Roman"/>
          <w:sz w:val="30"/>
          <w:szCs w:val="30"/>
        </w:rPr>
        <w:t>21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 w:rsidRPr="00E460A7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E460A7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Pr="00E460A7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Принять меры по повышению уровня заработной платы                              и сокращению количества организаций, имеющих среднюю заработную плату ниже уровня </w:t>
      </w:r>
      <w:r w:rsidR="00EB4A73" w:rsidRPr="00E460A7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организаций, </w:t>
      </w:r>
      <w:r w:rsidR="008C11E3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8C11E3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E460A7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Pr="00E460A7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 w:rsidRPr="00E460A7">
        <w:rPr>
          <w:rFonts w:ascii="Times New Roman" w:hAnsi="Times New Roman" w:cs="Times New Roman"/>
          <w:sz w:val="30"/>
          <w:szCs w:val="30"/>
        </w:rPr>
        <w:t xml:space="preserve">за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E460A7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E460A7">
        <w:rPr>
          <w:rFonts w:ascii="Times New Roman" w:hAnsi="Times New Roman" w:cs="Times New Roman"/>
          <w:sz w:val="30"/>
          <w:szCs w:val="30"/>
        </w:rPr>
        <w:t>«</w:t>
      </w:r>
      <w:r w:rsidRPr="00E460A7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E460A7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E460A7">
        <w:rPr>
          <w:rFonts w:ascii="Times New Roman" w:hAnsi="Times New Roman" w:cs="Times New Roman"/>
          <w:sz w:val="30"/>
          <w:szCs w:val="30"/>
        </w:rPr>
        <w:t>.</w:t>
      </w:r>
    </w:p>
    <w:p w:rsidR="0075038C" w:rsidRPr="00E460A7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Pr="00E460A7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lastRenderedPageBreak/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E460A7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E460A7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E460A7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Pr="00E460A7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E460A7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E460A7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E460A7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E460A7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E460A7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>по объективным причинам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нуждающимся </w:t>
      </w:r>
      <w:r w:rsidR="008703F7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 w:rsidRPr="00E460A7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E460A7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 w:rsidRPr="00E460A7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E460A7">
        <w:rPr>
          <w:rFonts w:ascii="Times New Roman" w:hAnsi="Times New Roman" w:cs="Times New Roman"/>
          <w:sz w:val="30"/>
          <w:szCs w:val="30"/>
        </w:rPr>
        <w:t>коммунальные услуги, газ, топливо, электроэнергию, медикаменты, социально значимые товары и услуги, оказываемые населению.</w:t>
      </w:r>
    </w:p>
    <w:p w:rsidR="00F1790F" w:rsidRPr="00E460A7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E460A7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</w:t>
      </w:r>
      <w:r w:rsidR="00711B1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номинальной начисленной </w:t>
      </w:r>
      <w:r w:rsidR="004530A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E460A7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E460A7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Pr="00E460A7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E460A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E460A7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E460A7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E460A7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п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E460A7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 w:rsidRPr="00E460A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460A7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Pr="00E460A7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Pr="00E460A7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</w:t>
      </w:r>
      <w:r w:rsidR="00C007DF" w:rsidRPr="00E460A7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а также проживающих в учреждениях социального обслуживания, установлению над ними шефства со стороны молодежных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общественных организаций и учреждений образования.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E460A7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E460A7">
        <w:rPr>
          <w:rFonts w:ascii="Times New Roman" w:hAnsi="Times New Roman" w:cs="Times New Roman"/>
          <w:sz w:val="30"/>
          <w:szCs w:val="30"/>
        </w:rPr>
        <w:t>–</w:t>
      </w:r>
      <w:r w:rsidR="00405DF9" w:rsidRPr="00E460A7">
        <w:rPr>
          <w:rFonts w:ascii="Times New Roman" w:hAnsi="Times New Roman" w:cs="Times New Roman"/>
          <w:sz w:val="30"/>
          <w:szCs w:val="30"/>
        </w:rPr>
        <w:t xml:space="preserve"> 2021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E460A7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 w:rsidRPr="00E460A7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 w:rsidRPr="00E460A7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E460A7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 w:rsidRPr="00E460A7">
        <w:rPr>
          <w:rFonts w:ascii="Times New Roman" w:hAnsi="Times New Roman" w:cs="Times New Roman"/>
          <w:sz w:val="30"/>
          <w:szCs w:val="30"/>
        </w:rPr>
        <w:t>(</w:t>
      </w:r>
      <w:r w:rsidRPr="00E460A7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E460A7">
        <w:rPr>
          <w:rFonts w:ascii="Times New Roman" w:hAnsi="Times New Roman" w:cs="Times New Roman"/>
          <w:sz w:val="30"/>
          <w:szCs w:val="30"/>
        </w:rPr>
        <w:t xml:space="preserve">     </w:t>
      </w:r>
      <w:r w:rsidRPr="00E460A7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 w:rsidRPr="00E460A7">
        <w:rPr>
          <w:rFonts w:ascii="Times New Roman" w:hAnsi="Times New Roman" w:cs="Times New Roman"/>
          <w:sz w:val="30"/>
          <w:szCs w:val="30"/>
        </w:rPr>
        <w:t>)</w:t>
      </w:r>
      <w:r w:rsidRPr="00E460A7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 w:rsidRPr="00E460A7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E460A7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Pr="00E460A7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E460A7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E460A7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E460A7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E460A7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E460A7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E460A7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E460A7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Pr="00E460A7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E460A7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 w:rsidRPr="00E460A7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E460A7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E460A7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 w:rsidRPr="00E460A7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E460A7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E460A7">
        <w:rPr>
          <w:rFonts w:ascii="Times New Roman" w:hAnsi="Times New Roman" w:cs="Times New Roman"/>
          <w:sz w:val="30"/>
          <w:szCs w:val="30"/>
        </w:rPr>
        <w:t>–</w:t>
      </w:r>
      <w:r w:rsidR="003C4538" w:rsidRPr="00E460A7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E460A7">
        <w:rPr>
          <w:rFonts w:ascii="Times New Roman" w:hAnsi="Times New Roman" w:cs="Times New Roman"/>
          <w:sz w:val="30"/>
          <w:szCs w:val="30"/>
        </w:rPr>
        <w:t>мероприятий</w:t>
      </w:r>
      <w:r w:rsidRPr="00E460A7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 w:rsidRPr="00E460A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политики занятости на рынке труда. </w:t>
      </w:r>
    </w:p>
    <w:p w:rsidR="00FD4240" w:rsidRPr="00E460A7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E460A7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 реализации государственной политики в области занятости населения применять принцип приоритетного использования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национальных кадров.</w:t>
      </w:r>
    </w:p>
    <w:p w:rsidR="00135E28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E460A7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</w:t>
      </w:r>
      <w:r w:rsidR="00323CB3" w:rsidRPr="00E460A7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E460A7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E460A7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E460A7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E460A7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E460A7">
        <w:rPr>
          <w:rFonts w:ascii="Times New Roman" w:hAnsi="Times New Roman" w:cs="Times New Roman"/>
          <w:sz w:val="30"/>
          <w:szCs w:val="30"/>
        </w:rPr>
        <w:t>.</w:t>
      </w:r>
    </w:p>
    <w:p w:rsidR="00950F24" w:rsidRPr="00E460A7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</w:t>
      </w:r>
      <w:r w:rsidR="00323CB3" w:rsidRPr="00E460A7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E460A7">
        <w:rPr>
          <w:rFonts w:ascii="Times New Roman" w:hAnsi="Times New Roman" w:cs="Times New Roman"/>
          <w:sz w:val="30"/>
          <w:szCs w:val="30"/>
        </w:rPr>
        <w:t>у</w:t>
      </w:r>
      <w:r w:rsidR="000E7D2E" w:rsidRPr="00E460A7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E460A7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E460A7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E460A7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E460A7">
        <w:rPr>
          <w:rFonts w:ascii="Times New Roman" w:hAnsi="Times New Roman" w:cs="Times New Roman"/>
          <w:sz w:val="30"/>
          <w:szCs w:val="30"/>
        </w:rPr>
        <w:t>.</w:t>
      </w:r>
      <w:r w:rsidR="001451F3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E460A7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</w:t>
      </w:r>
      <w:r w:rsidR="00323CB3" w:rsidRPr="00E460A7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E460A7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E460A7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E460A7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 w:rsidRPr="00E460A7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E460A7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E460A7">
        <w:rPr>
          <w:rFonts w:ascii="Times New Roman" w:hAnsi="Times New Roman" w:cs="Times New Roman"/>
          <w:sz w:val="30"/>
          <w:szCs w:val="30"/>
        </w:rPr>
        <w:t>.</w:t>
      </w:r>
    </w:p>
    <w:p w:rsidR="00135E28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E460A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460A7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E460A7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не способных на равных условиях конкурировать на рынке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>труда</w:t>
      </w:r>
      <w:r w:rsidR="001C4DAA" w:rsidRPr="00E460A7">
        <w:rPr>
          <w:rFonts w:ascii="Times New Roman" w:hAnsi="Times New Roman" w:cs="Times New Roman"/>
          <w:sz w:val="30"/>
          <w:szCs w:val="30"/>
        </w:rPr>
        <w:t>,</w:t>
      </w:r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F3545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Pr="00E460A7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Pr="00E460A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Оказывать содействие безработным в организации </w:t>
      </w:r>
      <w:proofErr w:type="spellStart"/>
      <w:r w:rsidRPr="00E460A7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E460A7">
        <w:rPr>
          <w:rFonts w:ascii="Times New Roman" w:hAnsi="Times New Roman" w:cs="Times New Roman"/>
          <w:sz w:val="30"/>
          <w:szCs w:val="30"/>
        </w:rPr>
        <w:t>, в том числе путем предоставления финансовой поддержки в виде субсидий.</w:t>
      </w:r>
    </w:p>
    <w:p w:rsidR="00135E28" w:rsidRPr="00E460A7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E460A7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Способствовать расширению возможностей трудоустройства молодежи, женщин, имеющих несовершеннолетних детей, лиц                        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с ограниченными возможностями.</w:t>
      </w:r>
      <w:bookmarkStart w:id="0" w:name="100124"/>
      <w:bookmarkEnd w:id="0"/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E460A7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B905BF" w:rsidRPr="00E460A7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E460A7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E460A7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E460A7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 w:rsidRPr="00E460A7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 w:rsidRPr="00E460A7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E460A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E460A7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Pr="00E460A7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E460A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 w:rsidRPr="00E460A7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 w:rsidRPr="00E460A7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E460A7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организации труда </w:t>
      </w:r>
      <w:r w:rsidR="00D8350B" w:rsidRPr="00E460A7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E460A7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E460A7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E460A7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олотых правил</w:t>
      </w:r>
      <w:proofErr w:type="gramStart"/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End"/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lastRenderedPageBreak/>
        <w:t>о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</w:t>
      </w:r>
      <w:proofErr w:type="gramStart"/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 xml:space="preserve">местах,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End"/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E460A7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E460A7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</w:t>
      </w:r>
      <w:proofErr w:type="gramStart"/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травматизма»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End"/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E460A7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«нулевого травматизма». </w:t>
      </w:r>
    </w:p>
    <w:p w:rsidR="00B905BF" w:rsidRPr="00E460A7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 w:rsidRPr="00E460A7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</w:t>
      </w:r>
      <w:proofErr w:type="gramStart"/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охраны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>труда</w:t>
      </w:r>
      <w:proofErr w:type="gramEnd"/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 и декла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E460A7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сайте </w:t>
      </w:r>
      <w:r w:rsidR="00A92EAA" w:rsidRPr="00E460A7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«нулевого травматизма» </w:t>
      </w:r>
      <w:r w:rsidR="00A92EAA" w:rsidRPr="00E460A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E460A7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E460A7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E460A7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 w:rsidRPr="00E460A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содействовать заключению соглашений и коллективных договоров, совершенство</w:t>
      </w:r>
      <w:r w:rsidR="00794E58" w:rsidRPr="00E460A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E460A7">
        <w:rPr>
          <w:rFonts w:ascii="Times New Roman" w:hAnsi="Times New Roman" w:cs="Times New Roman"/>
          <w:sz w:val="30"/>
          <w:szCs w:val="30"/>
        </w:rPr>
        <w:t xml:space="preserve">и </w:t>
      </w:r>
      <w:r w:rsidRPr="00E460A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E460A7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обязательства по сохранению в течение 3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>месяцев занятости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работающих на том же уровне, что и до привати</w:t>
      </w:r>
      <w:r w:rsidR="00AC200E" w:rsidRPr="00E460A7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 w:rsidRPr="00E460A7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E460A7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E460A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работников данной стороной добросовестно предпринимаются шаги </w:t>
      </w:r>
      <w:r w:rsidR="00796EAD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lastRenderedPageBreak/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E460A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460A7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 w:rsidRPr="00E460A7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E460A7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объединений) </w:t>
      </w:r>
      <w:r w:rsidR="004F6CAB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4F6CAB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1" w:name="P129"/>
      <w:bookmarkEnd w:id="1"/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 w:rsidRPr="00E460A7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E460A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gramStart"/>
      <w:r w:rsidR="00A95F45" w:rsidRPr="00E460A7">
        <w:rPr>
          <w:rFonts w:ascii="Times New Roman" w:hAnsi="Times New Roman" w:cs="Times New Roman"/>
          <w:sz w:val="30"/>
          <w:szCs w:val="30"/>
        </w:rPr>
        <w:t xml:space="preserve">   </w:t>
      </w:r>
      <w:r w:rsidRPr="00E460A7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>их объединениями), развивает систему урегулирован</w:t>
      </w:r>
      <w:r w:rsidR="002460A5" w:rsidRPr="00E460A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E460A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</w:t>
      </w:r>
      <w:r w:rsidR="00C9193A" w:rsidRPr="00E460A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 w:rsidRPr="00E460A7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E460A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E460A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E460A7">
        <w:rPr>
          <w:rFonts w:ascii="Times New Roman" w:hAnsi="Times New Roman" w:cs="Times New Roman"/>
          <w:sz w:val="30"/>
          <w:szCs w:val="30"/>
        </w:rPr>
        <w:t>С</w:t>
      </w:r>
      <w:r w:rsidR="008410CB" w:rsidRPr="00E460A7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E460A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E460A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</w:t>
      </w:r>
      <w:r w:rsidR="002A0EC9" w:rsidRPr="00E460A7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E460A7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E460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 w:rsidRPr="00E460A7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социального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 w:rsidRPr="00E460A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E460A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 w:rsidRPr="00E460A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объединениям </w:t>
      </w:r>
      <w:r w:rsidR="002805D7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t>нанимателей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проектов нормативных</w:t>
      </w:r>
      <w:r w:rsidR="00FB430F" w:rsidRPr="00E460A7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E460A7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E460A7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распорядительных органов, органов управления организаций (наблюдательных советов);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организаций, </w:t>
      </w:r>
      <w:r w:rsidR="009F2A0D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9F2A0D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 w:rsidRPr="00E460A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информируют Правительство, республиканские органы государственного управления и областные (Минский городской)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исполкомы о фактах несвоевременной выплаты заработной платы;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 w:rsidRPr="00E460A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460A7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E460A7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E460A7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E460A7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gramStart"/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</w:t>
      </w:r>
      <w:r w:rsidRPr="00E460A7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в том числе выплачиваемой за счет кредитов банков) в соответствии </w:t>
      </w:r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E460A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E460A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E460A7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E460A7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месяц, </w:t>
      </w:r>
      <w:r w:rsidR="005A52B9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A52B9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на мотивацию высокопроизводительного труда;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 w:rsidRPr="00E460A7">
        <w:rPr>
          <w:rFonts w:ascii="Times New Roman" w:hAnsi="Times New Roman" w:cs="Times New Roman"/>
          <w:sz w:val="30"/>
          <w:szCs w:val="30"/>
        </w:rPr>
        <w:t>С</w:t>
      </w:r>
      <w:r w:rsidRPr="00E460A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оклада) </w:t>
      </w:r>
      <w:r w:rsidR="00FC722E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FC722E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E460A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E460A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E460A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 w:rsidRPr="00E460A7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E460A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 w:rsidRPr="00E460A7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E460A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E460A7">
        <w:rPr>
          <w:rFonts w:ascii="Times New Roman" w:hAnsi="Times New Roman" w:cs="Times New Roman"/>
          <w:sz w:val="30"/>
          <w:szCs w:val="30"/>
        </w:rPr>
        <w:t>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E460A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460A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E460A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E460A7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имеющим неполную семью (</w:t>
      </w:r>
      <w:hyperlink r:id="rId16" w:history="1">
        <w:r w:rsidRPr="00E460A7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E460A7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E460A7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E460A7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E460A7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E460A7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</w:t>
      </w:r>
      <w:proofErr w:type="spellStart"/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предпенсионного</w:t>
      </w:r>
      <w:proofErr w:type="spellEnd"/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возраста (за три года </w:t>
      </w:r>
      <w:r w:rsidR="007A4A61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E460A7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E460A7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 w:rsidRPr="00E460A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работниками, </w:t>
      </w:r>
      <w:r w:rsidR="00180278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80278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на срок не менее трех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лет, </w:t>
      </w:r>
      <w:r w:rsidR="00404174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404174" w:rsidRPr="00E460A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 w:rsidRPr="00E460A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лечебном учреждении и другими причинами, опекуном) ребенка-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 xml:space="preserve">инвалида в возрасте до 18 лет или двоих и более детей в возрасте </w:t>
      </w:r>
      <w:r w:rsidR="00C14AFC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t>(</w:t>
      </w:r>
      <w:r w:rsidR="00C14AFC" w:rsidRPr="00E460A7">
        <w:rPr>
          <w:rFonts w:ascii="Times New Roman" w:hAnsi="Times New Roman" w:cs="Times New Roman"/>
          <w:sz w:val="30"/>
          <w:szCs w:val="30"/>
        </w:rPr>
        <w:t>-</w:t>
      </w:r>
      <w:r w:rsidRPr="00E460A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E460A7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>такому работнику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достигнутый размер оплаты труда; 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460A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E460A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E460A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E460A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 w:rsidRPr="00E460A7">
        <w:rPr>
          <w:rFonts w:ascii="Times New Roman" w:hAnsi="Times New Roman" w:cs="Times New Roman"/>
          <w:sz w:val="30"/>
          <w:szCs w:val="30"/>
        </w:rPr>
        <w:t>,</w:t>
      </w:r>
      <w:r w:rsidRPr="00E460A7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 w:rsidRPr="00E460A7">
        <w:rPr>
          <w:rFonts w:ascii="Times New Roman" w:hAnsi="Times New Roman" w:cs="Times New Roman"/>
          <w:sz w:val="30"/>
          <w:szCs w:val="30"/>
        </w:rPr>
        <w:t>,</w:t>
      </w:r>
      <w:r w:rsidRPr="00E460A7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</w:t>
      </w:r>
      <w:r w:rsidR="00981323" w:rsidRPr="00E460A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 w:rsidRPr="00E460A7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 xml:space="preserve">труд и др.) в отношении работников, воспитывающих детей в возрасте </w:t>
      </w:r>
      <w:r w:rsidR="005026C6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 w:rsidRPr="00E460A7">
        <w:rPr>
          <w:rFonts w:ascii="Times New Roman" w:hAnsi="Times New Roman" w:cs="Times New Roman"/>
          <w:sz w:val="30"/>
          <w:szCs w:val="30"/>
        </w:rPr>
        <w:t>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E460A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E460A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E460A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E460A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применение мер морального и материального поощрения работников, участвующих в культурно-массовых и спортивных мероприятиях;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 w:rsidRPr="00E460A7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E460A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с сохранением среднего заработка;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 w:rsidRPr="00E460A7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E460A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E460A7">
        <w:rPr>
          <w:rFonts w:ascii="Times New Roman" w:hAnsi="Times New Roman" w:cs="Times New Roman"/>
          <w:sz w:val="30"/>
          <w:szCs w:val="30"/>
        </w:rPr>
        <w:t>–</w:t>
      </w:r>
      <w:r w:rsidRPr="00E460A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E460A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460A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 случаях простоя из-за временного отсутствия работы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E460A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</w:t>
      </w:r>
      <w:r w:rsidRPr="00E460A7">
        <w:rPr>
          <w:rFonts w:ascii="Times New Roman" w:hAnsi="Times New Roman" w:cs="Times New Roman"/>
          <w:sz w:val="30"/>
          <w:szCs w:val="30"/>
        </w:rPr>
        <w:lastRenderedPageBreak/>
        <w:t>приспособлений, транспортных средств, средств защиты, об ухудшении состояния своего здоровья</w:t>
      </w:r>
      <w:r w:rsidR="000C5B77" w:rsidRPr="00E460A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E460A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E460A7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Pr="00E460A7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сумм, </w:t>
      </w:r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E4294D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не </w:t>
      </w:r>
      <w:r w:rsidRPr="00E460A7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E460A7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Pr="00E460A7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E460A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Pr="00E460A7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Pr="00E460A7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E460A7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 w:rsidRPr="00E460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>производств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и создания </w:t>
      </w:r>
      <w:r w:rsidR="00F27603" w:rsidRPr="00E460A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460A7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 w:rsidRPr="00E460A7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предприятия – в головную (базовую) организацию. </w:t>
      </w:r>
    </w:p>
    <w:p w:rsidR="00D647B5" w:rsidRPr="00E460A7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 w:rsidRPr="00E460A7">
        <w:rPr>
          <w:rFonts w:ascii="Times New Roman" w:hAnsi="Times New Roman" w:cs="Times New Roman"/>
          <w:sz w:val="30"/>
          <w:szCs w:val="30"/>
        </w:rPr>
        <w:t>включать</w:t>
      </w:r>
      <w:r w:rsidRPr="00E460A7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 w:rsidRPr="00E460A7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E460A7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 w:rsidRPr="00E460A7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E460A7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 w:rsidRPr="00E460A7">
        <w:rPr>
          <w:rFonts w:ascii="Times New Roman" w:hAnsi="Times New Roman" w:cs="Times New Roman"/>
          <w:sz w:val="30"/>
          <w:szCs w:val="30"/>
        </w:rPr>
        <w:t>и</w:t>
      </w:r>
      <w:r w:rsidR="00823E1D" w:rsidRPr="00E460A7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 w:rsidRPr="00E460A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E460A7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E460A7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E4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E460A7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E460A7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E460A7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E460A7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E460A7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E460A7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E460A7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E460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E460A7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E460A7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 w:rsidRPr="00E460A7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E460A7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E460A7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E460A7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lastRenderedPageBreak/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Pr="00E460A7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E460A7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E460A7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E460A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E460A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460A7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E460A7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E460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gramStart"/>
      <w:r w:rsidR="00DA5675" w:rsidRPr="00E460A7">
        <w:rPr>
          <w:rFonts w:ascii="Times New Roman" w:hAnsi="Times New Roman" w:cs="Times New Roman"/>
          <w:sz w:val="30"/>
          <w:szCs w:val="30"/>
        </w:rPr>
        <w:t xml:space="preserve">   </w:t>
      </w:r>
      <w:r w:rsidRPr="00E460A7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их объединений), профсоюзов (их объединений), работников, </w:t>
      </w:r>
      <w:r w:rsidR="00930706" w:rsidRPr="00E460A7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E460A7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E460A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E460A7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E460A7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 w:rsidRPr="00E460A7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E460A7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E460A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460A7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E460A7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соблюдению </w:t>
      </w:r>
      <w:r w:rsidR="00930706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трудовых прав и гарантий, созданию безопасных условий труда.</w:t>
      </w:r>
    </w:p>
    <w:p w:rsidR="00430880" w:rsidRPr="00E460A7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</w:t>
      </w:r>
      <w:proofErr w:type="gramStart"/>
      <w:r w:rsidRPr="00E460A7">
        <w:rPr>
          <w:rFonts w:ascii="Times New Roman" w:hAnsi="Times New Roman" w:cs="Times New Roman"/>
          <w:sz w:val="30"/>
          <w:szCs w:val="30"/>
        </w:rPr>
        <w:t xml:space="preserve">соглашения </w:t>
      </w:r>
      <w:r w:rsidR="00AB53AE" w:rsidRPr="00E460A7">
        <w:rPr>
          <w:rFonts w:ascii="Times New Roman" w:hAnsi="Times New Roman" w:cs="Times New Roman"/>
          <w:sz w:val="30"/>
          <w:szCs w:val="30"/>
        </w:rPr>
        <w:t xml:space="preserve"> </w:t>
      </w:r>
      <w:r w:rsidRPr="00E460A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E460A7">
        <w:rPr>
          <w:rFonts w:ascii="Times New Roman" w:hAnsi="Times New Roman" w:cs="Times New Roman"/>
          <w:sz w:val="30"/>
          <w:szCs w:val="30"/>
        </w:rPr>
        <w:t xml:space="preserve">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404874" w:rsidRPr="00E460A7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Pr="00E460A7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Pr="00E460A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0A7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E460A7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3729"/>
        <w:gridCol w:w="2886"/>
      </w:tblGrid>
      <w:tr w:rsidR="0052589E" w:rsidRPr="0052589E" w:rsidTr="00404874">
        <w:tc>
          <w:tcPr>
            <w:tcW w:w="2802" w:type="dxa"/>
          </w:tcPr>
          <w:p w:rsidR="0052589E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E460A7">
              <w:t>Правительства               Республики Беларусь</w:t>
            </w:r>
          </w:p>
          <w:p w:rsidR="0052589E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Pr="00E460A7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Pr="00E460A7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Pr="00E460A7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Pr="00E460A7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 w:rsidRPr="00E460A7">
              <w:t xml:space="preserve">Заместитель </w:t>
            </w:r>
            <w:r w:rsidR="002C28B6" w:rsidRPr="00E460A7">
              <w:t xml:space="preserve">                    </w:t>
            </w:r>
            <w:r w:rsidRPr="00E460A7">
              <w:t xml:space="preserve">Премьер-министра Республики Беларусь </w:t>
            </w:r>
            <w:r w:rsidR="002C28B6" w:rsidRPr="00E460A7">
              <w:t xml:space="preserve">                     </w:t>
            </w:r>
            <w:proofErr w:type="spellStart"/>
            <w:r w:rsidR="002C28B6" w:rsidRPr="00E460A7">
              <w:t>И.В.Ляшенко</w:t>
            </w:r>
            <w:proofErr w:type="spellEnd"/>
          </w:p>
          <w:p w:rsidR="0052589E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E460A7">
              <w:lastRenderedPageBreak/>
              <w:t xml:space="preserve">республиканских </w:t>
            </w:r>
            <w:r w:rsidR="002C28B6" w:rsidRPr="00E460A7">
              <w:t xml:space="preserve"> </w:t>
            </w:r>
            <w:r w:rsidR="00404874" w:rsidRPr="00E460A7">
              <w:t xml:space="preserve">                  </w:t>
            </w:r>
            <w:r w:rsidRPr="00E460A7">
              <w:t>объединений нанимателей</w:t>
            </w:r>
          </w:p>
          <w:p w:rsidR="002C28B6" w:rsidRPr="00E460A7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Pr="00E460A7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Pr="00E460A7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E460A7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E460A7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Союза некоммерческих </w:t>
            </w:r>
            <w:proofErr w:type="gramStart"/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 «</w:t>
            </w:r>
            <w:proofErr w:type="gramEnd"/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Конфедерация промышленников                          и предпринимателей (нанимателей)»                        </w:t>
            </w:r>
            <w:proofErr w:type="spellStart"/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2942" w:type="dxa"/>
          </w:tcPr>
          <w:p w:rsidR="002C28B6" w:rsidRPr="00E460A7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E460A7">
              <w:lastRenderedPageBreak/>
              <w:t>республиканских объединений профсоюзов</w:t>
            </w:r>
          </w:p>
          <w:p w:rsidR="002C28B6" w:rsidRPr="00E460A7" w:rsidRDefault="002C28B6" w:rsidP="00404874">
            <w:pPr>
              <w:spacing w:line="280" w:lineRule="exact"/>
            </w:pPr>
          </w:p>
          <w:p w:rsidR="002C28B6" w:rsidRPr="00E460A7" w:rsidRDefault="002C28B6" w:rsidP="00404874">
            <w:pPr>
              <w:spacing w:line="280" w:lineRule="exact"/>
            </w:pPr>
          </w:p>
          <w:p w:rsidR="00404874" w:rsidRPr="00E460A7" w:rsidRDefault="00404874" w:rsidP="00404874">
            <w:pPr>
              <w:spacing w:line="280" w:lineRule="exact"/>
            </w:pPr>
          </w:p>
          <w:p w:rsidR="006C2443" w:rsidRPr="00E460A7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E460A7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bookmarkStart w:id="2" w:name="_GoBack"/>
            <w:bookmarkEnd w:id="2"/>
            <w:proofErr w:type="spellEnd"/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E7" w:rsidRDefault="003E1DE7" w:rsidP="009650DF">
      <w:pPr>
        <w:spacing w:after="0" w:line="240" w:lineRule="auto"/>
      </w:pPr>
      <w:r>
        <w:separator/>
      </w:r>
    </w:p>
  </w:endnote>
  <w:endnote w:type="continuationSeparator" w:id="0">
    <w:p w:rsidR="003E1DE7" w:rsidRDefault="003E1DE7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E7" w:rsidRDefault="003E1DE7" w:rsidP="009650DF">
      <w:pPr>
        <w:spacing w:after="0" w:line="240" w:lineRule="auto"/>
      </w:pPr>
      <w:r>
        <w:separator/>
      </w:r>
    </w:p>
  </w:footnote>
  <w:footnote w:type="continuationSeparator" w:id="0">
    <w:p w:rsidR="003E1DE7" w:rsidRDefault="003E1DE7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7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68FD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DE7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381A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3FFB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0A7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016F-A051-40FF-882A-7B71F25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5DD7-AE8A-4B51-B473-AE6CC74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Сергей В. Домнич</cp:lastModifiedBy>
  <cp:revision>4</cp:revision>
  <cp:lastPrinted>2018-11-09T14:29:00Z</cp:lastPrinted>
  <dcterms:created xsi:type="dcterms:W3CDTF">2020-11-26T07:28:00Z</dcterms:created>
  <dcterms:modified xsi:type="dcterms:W3CDTF">2021-12-14T06:14:00Z</dcterms:modified>
  <cp:contentStatus/>
</cp:coreProperties>
</file>